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 xml:space="preserve">Zapytanie ofertowe nr  </w:t>
      </w:r>
      <w:bookmarkStart w:id="1" w:name="_Hlk216774726"/>
      <w:r>
        <w:rPr>
          <w:rFonts w:eastAsia="Times New Roman" w:cs="Times New Roman" w:ascii="Times New Roman" w:hAnsi="Times New Roman"/>
          <w:b/>
          <w:bCs/>
          <w:kern w:val="0"/>
          <w:sz w:val="27"/>
          <w:szCs w:val="27"/>
          <w:lang w:eastAsia="pl-PL"/>
          <w14:ligatures w14:val="none"/>
        </w:rPr>
        <w:t>3/12/POZ/FENX/2025</w:t>
      </w:r>
      <w:bookmarkEnd w:id="0"/>
      <w:bookmarkEnd w:id="1"/>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Aparat EKG mobilny”</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16.12.2025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3/12/POZ/FENX/2025</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„Aparatu EKG mobilny”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„Aparat EKG mobilny”</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ListParagraph"/>
        <w:numPr>
          <w:ilvl w:val="0"/>
          <w:numId w:val="11"/>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Przenośne urządzenie do akwizycji sygnału EKG</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Współpraca z kompleksową platformą kardiologiczną, w której można wykonać zarówno badania EKG z oceną ryzyka nagłej śmierci sercowej, jak i spirometrię, próbę wysiłkową, holter EKG, holter RR i ergospirometrię oraz telekonsultację badań;</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Platform</w:t>
      </w:r>
      <w:r>
        <w:rPr>
          <w:rFonts w:eastAsia="Times New Roman" w:cs="Times New Roman" w:ascii="Times New Roman" w:hAnsi="Times New Roman"/>
          <w:kern w:val="0"/>
          <w:sz w:val="24"/>
          <w:szCs w:val="24"/>
          <w:lang w:eastAsia="pl-PL"/>
          <w14:ligatures w14:val="none"/>
        </w:rPr>
        <w:t>a</w:t>
      </w:r>
      <w:r>
        <w:rPr>
          <w:rFonts w:eastAsia="Times New Roman" w:cs="Times New Roman" w:ascii="Times New Roman" w:hAnsi="Times New Roman"/>
          <w:kern w:val="0"/>
          <w:sz w:val="24"/>
          <w:szCs w:val="24"/>
          <w:lang w:eastAsia="pl-PL"/>
          <w14:ligatures w14:val="none"/>
        </w:rPr>
        <w:t xml:space="preserve"> ma zapewnić możliwość archiwizacji badań holterowskich (EKG i ciśnienia) oraz testów wysiłkowych / wspólna baza pacjentów dla wszystkich modułów diagnostycznych (holter EKG, holter ciśnienia, spoczynkowe EKG, spirometria, próba wysiłkowa, ergospirometria)</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rozbudowy o oprogramowanie z modułem telekonsultacji badań, wysyłanie badań do zdalnej oceny z poziomu oprogramowania diagnostycznego przy pomocy bezpiecznego łącza VPN</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Ekran dotykowy max 2.8, o rozdzielczości 240x320</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2 przyciski funkcyjne: wł./wył i zapis /wstecz </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Całkowity wymiar max: 82x87x25 mm waga max 150 g </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Prędkość (mm/s) 5, 10, 12.5, 25, 50 </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Czułość (mm/mV) 2.5, 5, 10, 20</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Układ wydruku 2x6+1R, 4X3+1R, 1x12+0R</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Liczba odprowadzeń – 12 (I, II, III, aVR, aVL, aVF, V1, V2, V3, V5, V6)</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Pomiar HR: 30-300 bpm.</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Liczba wyświetlanych odprowadzeń 1, 3, 12 </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Rozdzielczość amplitudy: 1 μV ±1% na LSB przy 500 SPS</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Zakres dynamiczny: Różnicowy prąd zmienny: ±5 mV;offset prądu stałego: ±300 mV</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Zakres częstotliwości: 0.05 Hz do 170 Hz</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próbkowania: 1000 Hz</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zapisu: 500 Hz</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Tłumienie sygnału współbieżnego: &gt;90 dB (filtr wyłączony) &gt;100 dB (filtr 50/60 Hz włączony)</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Wi-Fi: 2.4 GHz</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Kanał komunikacyjny: 1 (2412 MHz) do 11 (2462 MHz)</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Modulacja: DSSS / CCK / OFDM</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Faktyczna moc promieniowania: 7.92 dBm lub 6.198 mW, zmierzone przy 11 Mb/s</w:t>
      </w:r>
    </w:p>
    <w:p>
      <w:pPr>
        <w:pStyle w:val="ListParagraph"/>
        <w:numPr>
          <w:ilvl w:val="0"/>
          <w:numId w:val="11"/>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2 diody w kolorze zielonym oraz pomarańczowym informujące o stanie naładowania baterii</w:t>
      </w:r>
    </w:p>
    <w:p>
      <w:pPr>
        <w:pStyle w:val="ListParagraph"/>
        <w:numPr>
          <w:ilvl w:val="0"/>
          <w:numId w:val="11"/>
        </w:numPr>
        <w:spacing w:lineRule="auto" w:line="240" w:before="0" w:afterAutospacing="1"/>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Interfejs użytkownika wskazujący: Ekran zapisu, ekran historii, możliwość obrotu wyświetlacza o 180 stopni, ustawienia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Długość nagrania (urządzenie):</w:t>
      </w:r>
    </w:p>
    <w:p>
      <w:pPr>
        <w:pStyle w:val="ListParagraph"/>
        <w:numPr>
          <w:ilvl w:val="0"/>
          <w:numId w:val="12"/>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12-kanałowe EKG: 10 s; 12 s; 15 s; 20 s</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Pamięć: 90 EKG na urządzeniu i nielimitowana ilość badań EKG w dedykowanym oprogramowaniu</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sieciowy: 50,60</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izolinii (Dryf): 0.05 (3.2 s); 0.25 (0.6 s); 0.6 (0.3 s)</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zakłóceń mięśniowych (Myo): 20, 25, 35, 90</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Wykrywanie rozrusznika – szerokość impulsu: 0,1 ms- 2ms; amplituda impulsów: 2mV-250 mV</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druku na zewnętrznej drukarce</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Zasilanie: napięcie sieciowe 100- 240V</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Częstotliwość 50-60 Hz </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I klasa ochronności</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Norma IEC 60529</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Wykrywanie rozrusznika – szerokość impulsu: 0,1 ms- 2ms; amplituda impulsów: 2mV-250 mV</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pełni naładowana bateria: do 8 godzin użytkowania</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Tłumienie sygnału współbieżnego &gt;90db (filtr wyłączony) &gt; 100bB (filtr 50/60Hz włączony)</w:t>
      </w:r>
    </w:p>
    <w:p>
      <w:pPr>
        <w:pStyle w:val="ListParagraph"/>
        <w:numPr>
          <w:ilvl w:val="0"/>
          <w:numId w:val="12"/>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Ochrona przed impulsem defibrylatora </w:t>
      </w:r>
    </w:p>
    <w:p>
      <w:pPr>
        <w:pStyle w:val="ListParagraph"/>
        <w:numPr>
          <w:ilvl w:val="0"/>
          <w:numId w:val="12"/>
        </w:numPr>
        <w:spacing w:lineRule="auto" w:line="240" w:before="0" w:afterAutospacing="1"/>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Zapewnia możliwość tworzenia wyniku w formacie PDF</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IV kwartał 2025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19.12.2025 r., godzina: 1</w:t>
      </w:r>
      <w:r>
        <w:rPr>
          <w:rFonts w:eastAsia="Times New Roman" w:cs="Times New Roman" w:ascii="Times New Roman" w:hAnsi="Times New Roman"/>
          <w:b/>
          <w:bCs/>
          <w:kern w:val="0"/>
          <w:sz w:val="24"/>
          <w:szCs w:val="24"/>
          <w:lang w:eastAsia="pl-PL"/>
          <w14:ligatures w14:val="none"/>
        </w:rPr>
        <w:t>5</w:t>
      </w:r>
      <w:r>
        <w:rPr>
          <w:rFonts w:eastAsia="Times New Roman" w:cs="Times New Roman" w:ascii="Times New Roman" w:hAnsi="Times New Roman"/>
          <w:b/>
          <w:bCs/>
          <w:kern w:val="0"/>
          <w:sz w:val="24"/>
          <w:szCs w:val="24"/>
          <w:lang w:eastAsia="pl-PL"/>
          <w14:ligatures w14:val="none"/>
        </w:rPr>
        <w:t>:00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14"/>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1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16"/>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1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1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1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20"/>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VII. Wynik postępowania </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9"/>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9"/>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Załączniki:</w:t>
      </w:r>
    </w:p>
    <w:p>
      <w:pPr>
        <w:pStyle w:val="Normal"/>
        <w:numPr>
          <w:ilvl w:val="0"/>
          <w:numId w:val="10"/>
        </w:numPr>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Oświadczenie – wzór stanowi załącznik nr 1 do zapytania;</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LibreOffice/25.2.7.2$Windows_X86_64 LibreOffice_project/5cbfd1ab6520636bb5f7b99185aa69bd7456825d</Application>
  <AppVersion>15.0000</AppVersion>
  <Pages>6</Pages>
  <Words>1648</Words>
  <Characters>10478</Characters>
  <CharactersWithSpaces>12013</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2025-12-16T17:58:37Z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